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pStyle w:val="2"/>
      </w:pPr>
    </w:p>
    <w:p>
      <w:pPr>
        <w:widowControl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2023年度市区产业转型升级专项资金工业类拟安排项目（第三批认定类）汇总表</w:t>
      </w:r>
      <w:bookmarkEnd w:id="0"/>
    </w:p>
    <w:p>
      <w:pPr>
        <w:pStyle w:val="2"/>
        <w:rPr>
          <w:rFonts w:hint="eastAsia"/>
        </w:rPr>
      </w:pPr>
    </w:p>
    <w:tbl>
      <w:tblPr>
        <w:tblStyle w:val="4"/>
        <w:tblW w:w="9225" w:type="dxa"/>
        <w:tblInd w:w="-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784"/>
        <w:gridCol w:w="1141"/>
        <w:gridCol w:w="3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江苏奥蓝工程玻璃有限公司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江苏吉泰科电气有限责任公司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江苏京源环保股份有限公司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南通航海机械集团有限公司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南通通机股份有限公司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南通越亚半导体有限公司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南通中集能源装备有限公司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欣润新材料科技（江苏）有限公司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易俐特自动化技术股份有限公司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钰泰半导体股份有限公司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埃夫科纳聚合物股份有限公司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宝钢磁业（江苏）有限公司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江苏亨通电子线缆科技有限公司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江苏通光海洋光电科技有限公司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江苏雄风科技有限公司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南通恒金复合材料有限公司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南通市威士真空设备有限公司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南通中远海运重工装备有限公司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中兴能源装备有限公司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江苏帝奥微电子股份有限公司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江苏普腾停车设备有限公司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迈博瑞生物膜技术（南通）有限公司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南通爱慕希机械股份有限公司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南通奥凯生物技术开发有限公司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南通弘扬金属制品有限公司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南通江天化学股份有限公司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南通天盛新能源股份有限公司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南通新宙邦电子材料有限公司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中天科技光纤有限公司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江苏尚飞光电科技股份有限公司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苏锡通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上海蓝昊电气江苏有限公司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苏锡通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江苏东源电器集团股份有限公司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江苏富浩电子科技有限公司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江苏濠汉信息技术有限公司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南通江海储能技术有限公司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南通赛可特电子有限公司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南通新江海动力电子有限公司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国家级专精特新“小巨人”企业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江苏京源环保股份有限公司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江苏省工业设计中心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中集安瑞环科技股份有限公司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江苏省工业设计中心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惠生（南通）重工有限公司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江苏省工业设计中心</w:t>
            </w:r>
          </w:p>
        </w:tc>
      </w:tr>
    </w:tbl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jk2NTcyM2RjN2M5ZDg0MjBhMmFiM2E1ZTg1MzgifQ=="/>
  </w:docVars>
  <w:rsids>
    <w:rsidRoot w:val="30B316DC"/>
    <w:rsid w:val="0E3868AC"/>
    <w:rsid w:val="30B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2023-11-20T09:18:00Z</dcterms:created>
  <dc:creator>不爱游泳的小狮子</dc:creator>
  <cp:lastModifiedBy>不爱游泳的小狮子</cp:lastModifiedBy>
  <dcterms:modified xsi:type="dcterms:W3CDTF">2023-11-20T09:19:17Z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E20EC4EFEB6B4453AF6382CEAA378A0F_11</vt:lpwstr>
  </property>
</Properties>
</file>