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adjustRightInd w:val="0"/>
        <w:snapToGrid w:val="0"/>
        <w:spacing w:before="0" w:after="0" w:line="360" w:lineRule="auto"/>
        <w:jc w:val="center"/>
        <w:textAlignment w:val="baseline"/>
        <w:rPr>
          <w:rFonts w:hint="eastAsia" w:ascii="宋体" w:hAnsi="宋体" w:eastAsia="宋体" w:cs="宋体"/>
          <w:color w:val="auto"/>
          <w:w w:val="80"/>
          <w:szCs w:val="44"/>
          <w:highlight w:val="none"/>
        </w:rPr>
      </w:pPr>
      <w:r>
        <w:rPr>
          <w:rFonts w:hint="eastAsia" w:ascii="宋体" w:hAnsi="宋体" w:eastAsia="宋体" w:cs="宋体"/>
          <w:color w:val="auto"/>
          <w:w w:val="80"/>
          <w:szCs w:val="44"/>
          <w:highlight w:val="none"/>
          <w:lang w:eastAsia="zh-CN"/>
        </w:rPr>
        <w:t>南通市工业和信息化局第五届通商大会暨全市民营经济发展大会</w:t>
      </w:r>
      <w:r>
        <w:rPr>
          <w:rFonts w:hint="eastAsia" w:ascii="宋体" w:hAnsi="宋体" w:eastAsia="宋体" w:cs="宋体"/>
          <w:color w:val="auto"/>
          <w:w w:val="80"/>
          <w:szCs w:val="44"/>
          <w:highlight w:val="none"/>
          <w:lang w:eastAsia="zh-CN"/>
        </w:rPr>
        <w:t>综合服务项目</w:t>
      </w:r>
      <w:r>
        <w:rPr>
          <w:rFonts w:hint="eastAsia" w:ascii="宋体" w:hAnsi="宋体" w:eastAsia="宋体" w:cs="宋体"/>
          <w:color w:val="auto"/>
          <w:w w:val="80"/>
          <w:szCs w:val="44"/>
          <w:highlight w:val="none"/>
        </w:rPr>
        <w:t>需求</w:t>
      </w:r>
      <w:bookmarkStart w:id="0" w:name="二、项目具体需求说明"/>
      <w:bookmarkEnd w:id="0"/>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一、项目概况及要求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对</w:t>
      </w:r>
      <w:r>
        <w:rPr>
          <w:rFonts w:ascii="宋体" w:hAnsi="宋体" w:cs="宋体"/>
          <w:color w:val="auto"/>
          <w:sz w:val="24"/>
          <w:szCs w:val="24"/>
          <w:highlight w:val="none"/>
        </w:rPr>
        <w:t>在</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21</w:t>
      </w:r>
      <w:r>
        <w:rPr>
          <w:rFonts w:hint="eastAsia" w:ascii="宋体" w:hAnsi="宋体" w:cs="宋体"/>
          <w:color w:val="auto"/>
          <w:sz w:val="24"/>
          <w:szCs w:val="24"/>
          <w:highlight w:val="none"/>
        </w:rPr>
        <w:t>日</w:t>
      </w:r>
      <w:r>
        <w:rPr>
          <w:rFonts w:ascii="宋体" w:hAnsi="宋体" w:cs="宋体"/>
          <w:color w:val="auto"/>
          <w:sz w:val="24"/>
          <w:szCs w:val="24"/>
          <w:highlight w:val="none"/>
        </w:rPr>
        <w:t>南通</w:t>
      </w:r>
      <w:r>
        <w:rPr>
          <w:rFonts w:hint="eastAsia" w:ascii="宋体" w:hAnsi="宋体" w:cs="宋体"/>
          <w:color w:val="auto"/>
          <w:sz w:val="24"/>
          <w:szCs w:val="24"/>
          <w:highlight w:val="none"/>
        </w:rPr>
        <w:t>国际会议中心国际</w:t>
      </w:r>
      <w:r>
        <w:rPr>
          <w:rFonts w:hint="eastAsia" w:ascii="宋体" w:hAnsi="宋体" w:cs="宋体"/>
          <w:color w:val="auto"/>
          <w:sz w:val="24"/>
          <w:szCs w:val="24"/>
          <w:highlight w:val="none"/>
          <w:lang w:val="en-US" w:eastAsia="zh-CN"/>
        </w:rPr>
        <w:t>A</w:t>
      </w:r>
      <w:r>
        <w:rPr>
          <w:rFonts w:hint="eastAsia" w:ascii="宋体" w:hAnsi="宋体" w:cs="宋体"/>
          <w:color w:val="auto"/>
          <w:sz w:val="24"/>
          <w:szCs w:val="24"/>
          <w:highlight w:val="none"/>
        </w:rPr>
        <w:t>厅第五届通商大会暨全市民营经济发展大会综合服务项目</w:t>
      </w:r>
      <w:r>
        <w:rPr>
          <w:rFonts w:ascii="宋体" w:hAnsi="宋体" w:cs="宋体"/>
          <w:color w:val="auto"/>
          <w:sz w:val="24"/>
          <w:szCs w:val="24"/>
          <w:highlight w:val="none"/>
        </w:rPr>
        <w:t>进行设计</w:t>
      </w:r>
      <w:r>
        <w:rPr>
          <w:rFonts w:hint="eastAsia" w:ascii="宋体" w:hAnsi="宋体" w:cs="宋体"/>
          <w:color w:val="auto"/>
          <w:sz w:val="24"/>
          <w:szCs w:val="24"/>
          <w:highlight w:val="none"/>
        </w:rPr>
        <w:t>、</w:t>
      </w:r>
      <w:r>
        <w:rPr>
          <w:rFonts w:ascii="宋体" w:hAnsi="宋体" w:cs="宋体"/>
          <w:color w:val="auto"/>
          <w:sz w:val="24"/>
          <w:szCs w:val="24"/>
          <w:highlight w:val="none"/>
        </w:rPr>
        <w:t>施工</w:t>
      </w:r>
      <w:r>
        <w:rPr>
          <w:rFonts w:hint="eastAsia" w:ascii="宋体" w:hAnsi="宋体" w:cs="宋体"/>
          <w:color w:val="auto"/>
          <w:sz w:val="24"/>
          <w:szCs w:val="24"/>
          <w:highlight w:val="none"/>
        </w:rPr>
        <w:t>，并对会场提供相关服务</w:t>
      </w:r>
      <w:r>
        <w:rPr>
          <w:rFonts w:ascii="宋体" w:hAnsi="宋体" w:cs="宋体"/>
          <w:color w:val="auto"/>
          <w:sz w:val="24"/>
          <w:szCs w:val="24"/>
          <w:highlight w:val="none"/>
        </w:rPr>
        <w:t>，</w:t>
      </w:r>
      <w:r>
        <w:rPr>
          <w:rFonts w:hint="eastAsia" w:ascii="宋体" w:hAnsi="宋体" w:cs="宋体"/>
          <w:color w:val="auto"/>
          <w:sz w:val="24"/>
          <w:szCs w:val="24"/>
          <w:highlight w:val="none"/>
        </w:rPr>
        <w:t>设计风格要求既隆重又简朴，符合中央“八项规定”及省市“十项规定”的相关要求，具体设计和施工内容如下：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第五届通商大会暨全市民营经济发展大会，会议规模约600人，地点定于南通市国际会议中心一楼国际</w:t>
      </w:r>
      <w:r>
        <w:rPr>
          <w:rFonts w:hint="eastAsia" w:ascii="宋体" w:hAnsi="宋体" w:cs="宋体"/>
          <w:color w:val="auto"/>
          <w:sz w:val="24"/>
          <w:szCs w:val="24"/>
          <w:highlight w:val="none"/>
          <w:lang w:val="en-US" w:eastAsia="zh-CN"/>
        </w:rPr>
        <w:t>A</w:t>
      </w:r>
      <w:r>
        <w:rPr>
          <w:rFonts w:hint="eastAsia" w:ascii="宋体" w:hAnsi="宋体" w:cs="宋体"/>
          <w:color w:val="auto"/>
          <w:sz w:val="24"/>
          <w:szCs w:val="24"/>
          <w:highlight w:val="none"/>
        </w:rPr>
        <w:t>厅</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（一）整体方案要求：完整、系统、有条理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1.整体视觉方案设计要求：庄重恢弘，时尚大气，能给人眼前一亮感觉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(1)整体布局，包括室外、大厅、会场内部、整体动线设计等（场地尺寸自行踏勘）；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(2)整体方案详尽周密，包括氛围营造、主背景设计及相关物料及大屏PPT演示流程设计、</w:t>
      </w:r>
      <w:r>
        <w:rPr>
          <w:rFonts w:hint="eastAsia" w:ascii="宋体" w:hAnsi="宋体" w:cs="宋体"/>
          <w:color w:val="auto"/>
          <w:sz w:val="24"/>
          <w:szCs w:val="24"/>
          <w:highlight w:val="none"/>
          <w:lang w:val="en-US" w:eastAsia="zh-CN"/>
        </w:rPr>
        <w:t>颁奖</w:t>
      </w:r>
      <w:r>
        <w:rPr>
          <w:rFonts w:hint="eastAsia" w:ascii="宋体" w:hAnsi="宋体" w:cs="宋体"/>
          <w:color w:val="auto"/>
          <w:sz w:val="24"/>
          <w:szCs w:val="24"/>
          <w:highlight w:val="none"/>
        </w:rPr>
        <w:t>仪式</w:t>
      </w:r>
      <w:r>
        <w:rPr>
          <w:rFonts w:hint="eastAsia" w:ascii="宋体" w:hAnsi="宋体" w:cs="宋体"/>
          <w:color w:val="auto"/>
          <w:sz w:val="24"/>
          <w:szCs w:val="24"/>
          <w:highlight w:val="none"/>
          <w:lang w:val="en-US" w:eastAsia="zh-CN"/>
        </w:rPr>
        <w:t>画面</w:t>
      </w:r>
      <w:r>
        <w:rPr>
          <w:rFonts w:hint="eastAsia" w:ascii="宋体" w:hAnsi="宋体" w:cs="宋体"/>
          <w:color w:val="auto"/>
          <w:sz w:val="24"/>
          <w:szCs w:val="24"/>
          <w:highlight w:val="none"/>
        </w:rPr>
        <w:t>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2.整体方案执行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(1)实行专案小组制，建立活动执行倒排计划；</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(2)各种物料的制作监理，提供对本活动所涉及的顾问、咨询服务配合。</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（二）氛围营造：画面鲜艳、整体协调、做工精细造型及设计独特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（1）会议中心南北入口装置（北门，南门艺术合影装置</w:t>
      </w:r>
      <w:r>
        <w:rPr>
          <w:rFonts w:hint="eastAsia" w:ascii="宋体" w:hAnsi="宋体" w:cs="宋体"/>
          <w:color w:val="auto"/>
          <w:sz w:val="24"/>
          <w:szCs w:val="24"/>
          <w:highlight w:val="none"/>
          <w:lang w:val="en-US" w:eastAsia="zh-CN"/>
        </w:rPr>
        <w:t>各</w:t>
      </w:r>
      <w:r>
        <w:rPr>
          <w:rFonts w:hint="eastAsia" w:ascii="宋体" w:hAnsi="宋体" w:cs="宋体"/>
          <w:color w:val="auto"/>
          <w:sz w:val="24"/>
          <w:szCs w:val="24"/>
          <w:highlight w:val="none"/>
        </w:rPr>
        <w:t>1块，便于合影打卡）；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（2）会议中心外围指示牌、注水道旗（南北门及沿途，数量不少于30个）等；</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（3）会议中心内部</w:t>
      </w:r>
      <w:r>
        <w:rPr>
          <w:rFonts w:hint="eastAsia" w:ascii="宋体" w:hAnsi="宋体" w:cs="宋体"/>
          <w:color w:val="auto"/>
          <w:sz w:val="24"/>
          <w:szCs w:val="24"/>
          <w:highlight w:val="none"/>
          <w:lang w:val="en-US" w:eastAsia="zh-CN"/>
        </w:rPr>
        <w:t>氛围营造</w:t>
      </w:r>
      <w:r>
        <w:rPr>
          <w:rFonts w:hint="eastAsia" w:ascii="宋体" w:hAnsi="宋体" w:cs="宋体"/>
          <w:color w:val="auto"/>
          <w:sz w:val="24"/>
          <w:szCs w:val="24"/>
          <w:highlight w:val="none"/>
        </w:rPr>
        <w:t>（大厅</w:t>
      </w:r>
      <w:r>
        <w:rPr>
          <w:rFonts w:hint="eastAsia" w:ascii="宋体" w:hAnsi="宋体" w:cs="宋体"/>
          <w:color w:val="auto"/>
          <w:sz w:val="24"/>
          <w:szCs w:val="24"/>
          <w:highlight w:val="none"/>
          <w:lang w:val="en-US" w:eastAsia="zh-CN"/>
        </w:rPr>
        <w:t>装置</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内部</w:t>
      </w:r>
      <w:r>
        <w:rPr>
          <w:rFonts w:hint="eastAsia" w:ascii="宋体" w:hAnsi="宋体" w:cs="宋体"/>
          <w:color w:val="auto"/>
          <w:sz w:val="24"/>
          <w:szCs w:val="24"/>
          <w:highlight w:val="none"/>
        </w:rPr>
        <w:t>过道</w:t>
      </w:r>
      <w:r>
        <w:rPr>
          <w:rFonts w:hint="eastAsia" w:ascii="宋体" w:hAnsi="宋体" w:cs="宋体"/>
          <w:color w:val="auto"/>
          <w:sz w:val="24"/>
          <w:szCs w:val="24"/>
          <w:highlight w:val="none"/>
          <w:lang w:val="en-US" w:eastAsia="zh-CN"/>
        </w:rPr>
        <w:t>形象展板设计</w:t>
      </w:r>
      <w:r>
        <w:rPr>
          <w:rFonts w:hint="eastAsia" w:ascii="宋体" w:hAnsi="宋体" w:cs="宋体"/>
          <w:color w:val="auto"/>
          <w:sz w:val="24"/>
          <w:szCs w:val="24"/>
          <w:highlight w:val="none"/>
        </w:rPr>
        <w:t>等）、酒店签到处布置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指示牌</w:t>
      </w:r>
      <w:r>
        <w:rPr>
          <w:rFonts w:hint="eastAsia" w:ascii="宋体" w:hAnsi="宋体" w:cs="宋体"/>
          <w:color w:val="auto"/>
          <w:sz w:val="24"/>
          <w:szCs w:val="24"/>
          <w:highlight w:val="none"/>
        </w:rPr>
        <w:t>等；</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（三）舞美及相关服务类: 舞台设计有亮点、理念阐述新颖、造型特别</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（1）LED屏幕：高清（不低于</w:t>
      </w:r>
      <w:r>
        <w:rPr>
          <w:rFonts w:hint="eastAsia" w:ascii="宋体" w:hAnsi="宋体" w:cs="宋体"/>
          <w:color w:val="auto"/>
          <w:sz w:val="24"/>
          <w:szCs w:val="24"/>
          <w:highlight w:val="none"/>
          <w:lang w:val="en-US" w:eastAsia="zh-CN"/>
        </w:rPr>
        <w:t>26</w:t>
      </w:r>
      <w:r>
        <w:rPr>
          <w:rFonts w:hint="eastAsia" w:ascii="宋体" w:hAnsi="宋体" w:cs="宋体"/>
          <w:color w:val="auto"/>
          <w:sz w:val="24"/>
          <w:szCs w:val="24"/>
          <w:highlight w:val="none"/>
        </w:rPr>
        <w:t>0㎡，主背景板；具体尺寸根据实际场地设计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包含南通国际会议中心LED屏自带费用</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（2）舞台设计：</w:t>
      </w:r>
      <w:r>
        <w:rPr>
          <w:rFonts w:hint="eastAsia" w:ascii="宋体" w:hAnsi="宋体" w:cs="宋体"/>
          <w:color w:val="auto"/>
          <w:sz w:val="24"/>
          <w:szCs w:val="24"/>
          <w:highlight w:val="none"/>
          <w:lang w:val="en-US" w:eastAsia="zh-CN"/>
        </w:rPr>
        <w:t>定制</w:t>
      </w:r>
      <w:r>
        <w:rPr>
          <w:rFonts w:hint="eastAsia" w:ascii="宋体" w:hAnsi="宋体" w:cs="宋体"/>
          <w:color w:val="auto"/>
          <w:sz w:val="24"/>
          <w:szCs w:val="24"/>
          <w:highlight w:val="none"/>
        </w:rPr>
        <w:t>造型新颖气势宏大做工精致，满足活动主题；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（3）会场灯光布置（满足面光需求及氛围营造）</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颁奖仪式</w:t>
      </w:r>
      <w:r>
        <w:rPr>
          <w:rFonts w:hint="eastAsia" w:ascii="宋体" w:hAnsi="宋体" w:cs="宋体"/>
          <w:color w:val="auto"/>
          <w:sz w:val="24"/>
          <w:szCs w:val="24"/>
          <w:highlight w:val="none"/>
        </w:rPr>
        <w:t>设计及屏幕动态视频设计，要求设计新颖，有创意、有寓意；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（5）音响：会议级音响设备，保证声音无死角；</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（6）现场拍照：高分辨率专业全景摄影，活动结束后提供活动全程图；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（7）演讲台及演讲台装饰。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（8）礼仪服务：8人（女性、美丽、端庄、举止规范）</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（四）平面及相关，设计简洁，大气，制作成品精致</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（1）证件、手提袋、会议手册、通行证、席卡</w:t>
      </w:r>
      <w:r>
        <w:rPr>
          <w:rFonts w:hint="eastAsia" w:ascii="宋体" w:hAnsi="宋体" w:cs="宋体"/>
          <w:color w:val="auto"/>
          <w:sz w:val="24"/>
          <w:szCs w:val="24"/>
          <w:highlight w:val="none"/>
          <w:lang w:val="en-US" w:eastAsia="zh-CN"/>
        </w:rPr>
        <w:t>设计</w:t>
      </w:r>
      <w:r>
        <w:rPr>
          <w:rFonts w:hint="eastAsia" w:ascii="宋体" w:hAnsi="宋体" w:cs="宋体"/>
          <w:color w:val="auto"/>
          <w:sz w:val="24"/>
          <w:szCs w:val="24"/>
          <w:highlight w:val="none"/>
        </w:rPr>
        <w:t>等，</w:t>
      </w:r>
      <w:r>
        <w:rPr>
          <w:rFonts w:hint="eastAsia" w:ascii="宋体" w:hAnsi="宋体" w:cs="宋体"/>
          <w:color w:val="auto"/>
          <w:sz w:val="24"/>
          <w:szCs w:val="24"/>
          <w:highlight w:val="none"/>
          <w:lang w:val="en-US" w:eastAsia="zh-CN"/>
        </w:rPr>
        <w:t>无需印制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）车号牌、接站牌、区域分布图等</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rPr>
        <w:t>）其它相关服务</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除进行主会场设计、布置外，还需配合采购方进行现场座位图设计修改、现场座位调整等工作。</w:t>
      </w:r>
    </w:p>
    <w:p>
      <w:pPr>
        <w:pStyle w:val="2"/>
        <w:numPr>
          <w:ilvl w:val="0"/>
          <w:numId w:val="1"/>
        </w:numPr>
        <w:ind w:left="0" w:leftChars="0"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会议</w:t>
      </w:r>
      <w:r>
        <w:rPr>
          <w:rFonts w:hint="eastAsia" w:ascii="宋体" w:hAnsi="宋体" w:cs="宋体"/>
          <w:b/>
          <w:bCs/>
          <w:color w:val="auto"/>
          <w:sz w:val="24"/>
          <w:szCs w:val="24"/>
          <w:highlight w:val="none"/>
        </w:rPr>
        <w:t>相关</w:t>
      </w:r>
      <w:r>
        <w:rPr>
          <w:rFonts w:hint="eastAsia" w:ascii="宋体" w:hAnsi="宋体" w:cs="宋体"/>
          <w:b/>
          <w:bCs/>
          <w:color w:val="auto"/>
          <w:sz w:val="24"/>
          <w:szCs w:val="24"/>
          <w:highlight w:val="none"/>
          <w:lang w:val="en-US" w:eastAsia="zh-CN"/>
        </w:rPr>
        <w:t>议程</w:t>
      </w:r>
    </w:p>
    <w:p>
      <w:pPr>
        <w:pStyle w:val="5"/>
        <w:numPr>
          <w:ilvl w:val="0"/>
          <w:numId w:val="0"/>
        </w:numPr>
        <w:ind w:right="1470" w:rightChars="70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（1）观看专题片；</w:t>
      </w:r>
    </w:p>
    <w:p>
      <w:pPr>
        <w:pStyle w:val="5"/>
        <w:numPr>
          <w:ilvl w:val="0"/>
          <w:numId w:val="0"/>
        </w:numPr>
        <w:ind w:right="1470" w:rightChars="70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（2）市委书记致辞；</w:t>
      </w:r>
    </w:p>
    <w:p>
      <w:pPr>
        <w:pStyle w:val="5"/>
        <w:numPr>
          <w:ilvl w:val="0"/>
          <w:numId w:val="0"/>
        </w:numPr>
        <w:ind w:right="1470" w:rightChars="70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（3）市长作南通发展环境推介；</w:t>
      </w:r>
    </w:p>
    <w:p>
      <w:pPr>
        <w:pStyle w:val="5"/>
        <w:numPr>
          <w:ilvl w:val="0"/>
          <w:numId w:val="0"/>
        </w:numPr>
        <w:ind w:right="1470" w:rightChars="70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（4）颁奖仪式；</w:t>
      </w:r>
    </w:p>
    <w:p>
      <w:pPr>
        <w:pStyle w:val="5"/>
        <w:numPr>
          <w:ilvl w:val="0"/>
          <w:numId w:val="0"/>
        </w:numPr>
        <w:ind w:right="1470" w:rightChars="700"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（5）嘉宾代表发言；</w:t>
      </w:r>
    </w:p>
    <w:p>
      <w:pPr>
        <w:pStyle w:val="5"/>
        <w:numPr>
          <w:ilvl w:val="0"/>
          <w:numId w:val="0"/>
        </w:numPr>
        <w:ind w:right="1470" w:rightChars="700" w:firstLine="480" w:firstLineChars="200"/>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（6）通商代表宣读“牢记总书记嘱托，争做新时代张謇”倡议书</w:t>
      </w:r>
      <w:r>
        <w:rPr>
          <w:rFonts w:hint="eastAsia" w:ascii="宋体" w:hAnsi="宋体" w:cs="宋体"/>
          <w:color w:val="auto"/>
          <w:kern w:val="2"/>
          <w:sz w:val="24"/>
          <w:szCs w:val="24"/>
          <w:highlight w:val="none"/>
          <w:lang w:val="en-US" w:eastAsia="zh-CN" w:bidi="ar-SA"/>
        </w:rPr>
        <w:t>；</w:t>
      </w:r>
    </w:p>
    <w:p>
      <w:pPr>
        <w:pStyle w:val="5"/>
        <w:numPr>
          <w:ilvl w:val="0"/>
          <w:numId w:val="0"/>
        </w:numPr>
        <w:ind w:right="1470" w:rightChars="700" w:firstLine="480" w:firstLineChars="200"/>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（7）重大项目签约仪式。</w:t>
      </w:r>
      <w:bookmarkStart w:id="1" w:name="_GoBack"/>
      <w:bookmarkEnd w:id="1"/>
    </w:p>
    <w:p>
      <w:pPr>
        <w:pStyle w:val="8"/>
        <w:tabs>
          <w:tab w:val="left" w:pos="0"/>
        </w:tabs>
        <w:spacing w:line="360" w:lineRule="auto"/>
        <w:ind w:firstLine="442" w:firstLineChars="200"/>
        <w:rPr>
          <w:rFonts w:hAnsi="宋体" w:cs="宋体"/>
          <w:b/>
          <w:bCs/>
          <w:color w:val="auto"/>
          <w:kern w:val="2"/>
          <w:sz w:val="22"/>
          <w:szCs w:val="22"/>
          <w:highlight w:val="none"/>
        </w:rPr>
      </w:pPr>
      <w:r>
        <w:rPr>
          <w:rFonts w:hint="eastAsia" w:hAnsi="宋体" w:cs="宋体"/>
          <w:b/>
          <w:bCs/>
          <w:color w:val="auto"/>
          <w:kern w:val="2"/>
          <w:sz w:val="22"/>
          <w:szCs w:val="22"/>
          <w:highlight w:val="none"/>
        </w:rPr>
        <w:t>二、服务时间</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服务时间：自合同签订之日起至</w:t>
      </w:r>
      <w:r>
        <w:rPr>
          <w:rFonts w:hint="eastAsia" w:ascii="宋体" w:hAnsi="宋体" w:cs="宋体"/>
          <w:color w:val="auto"/>
          <w:sz w:val="22"/>
          <w:szCs w:val="22"/>
          <w:highlight w:val="none"/>
          <w:lang w:val="en-US" w:eastAsia="zh-CN"/>
        </w:rPr>
        <w:t>21</w:t>
      </w:r>
      <w:r>
        <w:rPr>
          <w:rFonts w:hint="eastAsia" w:ascii="宋体" w:hAnsi="宋体" w:cs="宋体"/>
          <w:color w:val="auto"/>
          <w:sz w:val="22"/>
          <w:szCs w:val="22"/>
          <w:highlight w:val="none"/>
        </w:rPr>
        <w:t>日活动结束。</w:t>
      </w:r>
    </w:p>
    <w:p>
      <w:pPr>
        <w:pStyle w:val="8"/>
        <w:tabs>
          <w:tab w:val="left" w:pos="0"/>
        </w:tabs>
        <w:spacing w:line="360" w:lineRule="auto"/>
        <w:ind w:firstLine="442" w:firstLineChars="200"/>
        <w:rPr>
          <w:rFonts w:hAnsi="宋体" w:cs="宋体"/>
          <w:b/>
          <w:bCs/>
          <w:color w:val="auto"/>
          <w:kern w:val="2"/>
          <w:sz w:val="22"/>
          <w:szCs w:val="22"/>
          <w:highlight w:val="none"/>
        </w:rPr>
      </w:pPr>
      <w:r>
        <w:rPr>
          <w:rFonts w:hint="eastAsia" w:hAnsi="宋体" w:cs="宋体"/>
          <w:b/>
          <w:bCs/>
          <w:color w:val="auto"/>
          <w:kern w:val="2"/>
          <w:sz w:val="22"/>
          <w:szCs w:val="22"/>
          <w:highlight w:val="none"/>
        </w:rPr>
        <w:t>三、付款方式</w:t>
      </w:r>
    </w:p>
    <w:p>
      <w:pPr>
        <w:spacing w:line="360" w:lineRule="auto"/>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1.签订合同后支付合同总额的15%；</w:t>
      </w:r>
    </w:p>
    <w:p>
      <w:pPr>
        <w:spacing w:line="360" w:lineRule="auto"/>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.活动结束后成交供应商提交整体活动流程图文资料，经采购人委托的有资质的审计单位审计结束后支付尾款（审定价扣除已支付金额所剩余的款项）；</w:t>
      </w:r>
    </w:p>
    <w:p>
      <w:pPr>
        <w:spacing w:line="360" w:lineRule="auto"/>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.以上付款均不计利息，每次付款前成交供应商须出具同等金额的正规发票。</w:t>
      </w:r>
    </w:p>
    <w:p>
      <w:pPr>
        <w:pStyle w:val="7"/>
        <w:spacing w:line="360" w:lineRule="auto"/>
        <w:ind w:firstLine="482" w:firstLineChars="200"/>
        <w:rPr>
          <w:rFonts w:ascii="宋体" w:hAnsi="宋体" w:eastAsia="宋体" w:cs="宋体"/>
          <w:b/>
          <w:bCs/>
          <w:color w:val="auto"/>
          <w:szCs w:val="24"/>
          <w:highlight w:val="none"/>
        </w:rPr>
      </w:pPr>
      <w:r>
        <w:rPr>
          <w:rFonts w:hint="eastAsia" w:ascii="宋体" w:hAnsi="宋体" w:eastAsia="宋体" w:cs="宋体"/>
          <w:b/>
          <w:bCs/>
          <w:color w:val="auto"/>
          <w:szCs w:val="24"/>
          <w:highlight w:val="none"/>
          <w:lang w:bidi="ar"/>
        </w:rPr>
        <w:t xml:space="preserve">四、相关要求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1.本项目的设计、施工过程和布展工作必须严格按照施工质量应符合现行国家技术、施工及验收规范规程，对施工工艺的特殊要求，按设计图纸及国家有关规定执行。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2.质量要求：按相关工程施工质量验收规范合格标准。设计、制作安装等服务应响应迅速，施工及时并符合采购人及展馆要求。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3.安全要求：要求在开工前和布展（或布置）实施期间做好安全文明标化管理，要求在磋商响应文件中阐述有关布展（或布置）实施方案和管理措施，并作出相应承诺，确保场内外道路清洁畅通，确保来往车辆、人员、施工安全。符合布展制作及施工安装等安全要求，涉及到电气布线、安装等应符合消防安全要求，确保安全可靠，所有结构应与展台自身主体结构连接，严禁在展馆天花板、梁、柱、围栏或各种专用管线上吊挂、捆绑。在项目实施过程（包括搭建及活动期间等）期间以及一切由于供应商实施的工作问题导致的安全责任均由供应商承担，采购人概不负责。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4.技术规格：设计施工符合展馆规范要求，制作工艺细致。整体外观与设计效果保持一致，现场安装施工严谨精细，标识、画面等内容无错误。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5.施工要求：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1）舞台搭建施工：依据招标文件及设计方案，负责设备的租赁、安装、布置、活动期间本展区活动的技术、人员及设备保障。施工时能较好理解设计意图，用材适当并与环境相协调，性价比高，多媒体设备选配科学、合理，保证活动期间设备的稳定耐用。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（2）工程组织周密。要科学制定合理的施工组织实施方案，统筹协调布展进度，使各分项组织实施的全过程及各个环节始终处于受控状态，施工工艺满足国家、省、市现行标准、规范的相关文件要求。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（3）坚持安全施工。要强化安全生产意识，建立规范化、标准化、制度化的管理体系，确保施工现场的结构安全、消防安全、电气安全，以及人身安全等，以达到优质的展示效果。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6.场地布置验收标准：满足采购人要求，包括规划、设计、施工与采购人需求一致，准确无误。制作工艺细致，符合消防标准。发光字、供电电源、照明灯管应质量优良，安装合理。画面色彩均匀、清晰、饱满，观感良好。灯箱透光性均匀，美观大方，胶接牢固等。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7.场地布置竣工时间：202</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 xml:space="preserve"> 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rPr>
        <w:t>0日</w:t>
      </w:r>
      <w:r>
        <w:rPr>
          <w:rFonts w:hint="eastAsia" w:ascii="宋体" w:hAnsi="宋体" w:cs="宋体"/>
          <w:color w:val="auto"/>
          <w:sz w:val="22"/>
          <w:szCs w:val="22"/>
          <w:highlight w:val="none"/>
          <w:lang w:val="en-US" w:eastAsia="zh-CN"/>
        </w:rPr>
        <w:t>20</w:t>
      </w:r>
      <w:r>
        <w:rPr>
          <w:rFonts w:hint="eastAsia" w:ascii="宋体" w:hAnsi="宋体" w:cs="宋体"/>
          <w:color w:val="auto"/>
          <w:sz w:val="22"/>
          <w:szCs w:val="22"/>
          <w:highlight w:val="none"/>
        </w:rPr>
        <w:t xml:space="preserve">:00前完成所有场地布置并验收合格。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8.服务标准、效率：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（1）服务标准：设计和施工满足采购人要求，符合我国相关技术规范和质量标准。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（2）服务效率：根据采购人要求及时修改方案、及时施工、及时响应。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9.总体要求风格大气、国际化、简洁不失品味，让人眼前一亮。设计新颖、特色鲜明、主题突出、颜色搭配适当，既要合理布局，又要确保内容丰富全面。 </w:t>
      </w:r>
    </w:p>
    <w:p>
      <w:pPr>
        <w:pStyle w:val="8"/>
        <w:tabs>
          <w:tab w:val="left" w:pos="0"/>
        </w:tabs>
        <w:spacing w:line="360" w:lineRule="auto"/>
        <w:ind w:firstLine="442" w:firstLineChars="200"/>
        <w:rPr>
          <w:rFonts w:hAnsi="宋体" w:cs="宋体"/>
          <w:b/>
          <w:bCs/>
          <w:color w:val="auto"/>
          <w:kern w:val="2"/>
          <w:sz w:val="22"/>
          <w:szCs w:val="22"/>
          <w:highlight w:val="none"/>
        </w:rPr>
      </w:pPr>
      <w:r>
        <w:rPr>
          <w:rFonts w:hint="eastAsia" w:hAnsi="宋体" w:cs="宋体"/>
          <w:b/>
          <w:bCs/>
          <w:color w:val="auto"/>
          <w:kern w:val="2"/>
          <w:sz w:val="22"/>
          <w:szCs w:val="22"/>
          <w:highlight w:val="none"/>
        </w:rPr>
        <w:t>五、违约责任</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成交供应商执行活动不符合竞争性磋商文件要求及磋商响应文件承诺或采购人批准的活动方案的，如出现漏项或错项，每发生一次，应向采购人支付活动费用总额0.5%或成交供应商漏项错项对应活动费用金额3倍的违约金（以高者为准）；发生如下情况之一，视为成交供应商重大违约，采购人有权单方解除本合同：</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(1)工作进度缓慢将会导致活动无法按期举办的：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(2)未按约定时间开始活动的；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(3)活动主要人员未按时到场参加活动的；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(4)发生安全事故且成交供应商负有责任的：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(5)活动质量、效果明显不能达到采购人要求的：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(6)成交供应商以采购人或本活动相关单位名义对外从事与本合同履行无关的任何行为的；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(7)未按照采购人批准的策划及执行方案实施具体工作的。</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2.成交供应商违反相关条款，给采购人造成损失或负面影响，成交供应商应赔偿采购人的损失；如采购人认为成交供应商违约情节严重，采购人有权解除本合同。</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 xml:space="preserve">3.如成交供应商在活动中无故泄露采购人提供的资料及与本合同有关的任何内容，或丑化采购人或本活动相关单位形象的，采购人有权解除本合同；此外，成交供应商应按采购人要求予以纠正，如造成采购人损失的，则成交供应商应子以赔偿，赔偿金额不少于本合同约定活动费用总额的20%。 </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4.成交供应商如有其它任何违约行为，未按照采购人要求期限及时改正的，每逾期一日，成交供应商应向采购人支付活动费用总额的0.5%；逾期达到10日的，采购人有权解除本合同。</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5.成交供应商违约导致本合同提前终止（包括采购人行使合同解除权的情况）的，采购人无需向成交供应商支付任何费用，且成交供应商应向采购人支付活动费用总额20%的违约金，采购人仍有其他损失的，由成交供应商继续赔偿。</w:t>
      </w:r>
    </w:p>
    <w:p>
      <w:pPr>
        <w:spacing w:line="360" w:lineRule="auto"/>
        <w:ind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6.成交供应商应向采购人支付的违约金、赔偿金等任何费用，采购人可直接从应付活动费用中扣除，成交供应商不持异议。</w:t>
      </w:r>
    </w:p>
    <w:p>
      <w:pPr>
        <w:spacing w:line="360" w:lineRule="auto"/>
        <w:ind w:firstLine="440" w:firstLineChars="200"/>
        <w:jc w:val="left"/>
        <w:rPr>
          <w:rFonts w:hint="eastAsia" w:ascii="宋体" w:hAnsi="宋体" w:eastAsia="宋体" w:cs="宋体"/>
          <w:color w:val="auto"/>
          <w:sz w:val="22"/>
          <w:szCs w:val="22"/>
          <w:highlight w:val="none"/>
        </w:rPr>
      </w:pPr>
      <w:r>
        <w:rPr>
          <w:rFonts w:hint="eastAsia" w:ascii="宋体" w:hAnsi="宋体" w:cs="宋体"/>
          <w:color w:val="auto"/>
          <w:sz w:val="22"/>
          <w:szCs w:val="22"/>
          <w:highlight w:val="none"/>
        </w:rPr>
        <w:t>7.本活动除</w:t>
      </w:r>
      <w:r>
        <w:rPr>
          <w:rFonts w:hint="eastAsia" w:ascii="宋体" w:hAnsi="宋体" w:eastAsia="宋体" w:cs="宋体"/>
          <w:color w:val="auto"/>
          <w:sz w:val="22"/>
          <w:szCs w:val="22"/>
          <w:highlight w:val="none"/>
        </w:rPr>
        <w:t>因不可抗力的因素影响外，成交供应商必须按时保质保量完成活动全部工作，否则成交供应商应承担相应违约责任。</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A6F1E"/>
    <w:multiLevelType w:val="singleLevel"/>
    <w:tmpl w:val="344A6F1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unhideWhenUsed/>
    <w:qFormat/>
    <w:uiPriority w:val="99"/>
    <w:pPr>
      <w:ind w:firstLine="200" w:firstLineChars="200"/>
    </w:pPr>
  </w:style>
  <w:style w:type="paragraph" w:styleId="3">
    <w:name w:val="Body Text Indent"/>
    <w:basedOn w:val="1"/>
    <w:next w:val="4"/>
    <w:unhideWhenUsed/>
    <w:qFormat/>
    <w:uiPriority w:val="99"/>
    <w:pPr>
      <w:spacing w:after="120"/>
      <w:ind w:left="420" w:leftChars="200"/>
    </w:pPr>
    <w:rPr>
      <w:szCs w:val="24"/>
    </w:rPr>
  </w:style>
  <w:style w:type="paragraph" w:styleId="4">
    <w:name w:val="envelope return"/>
    <w:basedOn w:val="1"/>
    <w:unhideWhenUsed/>
    <w:qFormat/>
    <w:uiPriority w:val="99"/>
    <w:pPr>
      <w:snapToGrid w:val="0"/>
    </w:pPr>
    <w:rPr>
      <w:rFonts w:ascii="Arial" w:hAnsi="Arial"/>
    </w:rPr>
  </w:style>
  <w:style w:type="paragraph" w:styleId="5">
    <w:name w:val="Block Text"/>
    <w:basedOn w:val="1"/>
    <w:qFormat/>
    <w:uiPriority w:val="99"/>
    <w:pPr>
      <w:spacing w:after="120"/>
      <w:ind w:left="1440" w:leftChars="700" w:right="700" w:rightChars="700"/>
    </w:pPr>
  </w:style>
  <w:style w:type="paragraph" w:styleId="7">
    <w:name w:val="Normal Indent"/>
    <w:basedOn w:val="1"/>
    <w:qFormat/>
    <w:uiPriority w:val="0"/>
    <w:pPr>
      <w:adjustRightInd w:val="0"/>
      <w:ind w:firstLine="420"/>
      <w:jc w:val="left"/>
      <w:textAlignment w:val="baseline"/>
    </w:pPr>
    <w:rPr>
      <w:rFonts w:eastAsia="楷体_GB2312"/>
      <w:kern w:val="0"/>
      <w:sz w:val="24"/>
    </w:rPr>
  </w:style>
  <w:style w:type="paragraph" w:styleId="8">
    <w:name w:val="Plain Text"/>
    <w:basedOn w:val="1"/>
    <w:qFormat/>
    <w:uiPriority w:val="99"/>
    <w:rPr>
      <w:rFonts w:ascii="宋体" w:hAnsi="Courier New"/>
      <w:kern w:val="0"/>
      <w:sz w:val="20"/>
      <w:szCs w:val="21"/>
    </w:rPr>
  </w:style>
  <w:style w:type="paragraph" w:styleId="9">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2023-05-08T17:22:00Z</dcterms:created>
  <dc:creator>L</dc:creator>
  <cp:lastModifiedBy>iPhone</cp:lastModifiedBy>
  <dcterms:modified xsi:type="dcterms:W3CDTF">2023-05-08T20:39:57Z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2052-11.36.2</vt:lpwstr>
  </property>
  <property fmtid="{D5CDD505-2E9C-101B-9397-08002B2CF9AE}" pid="3" name="ICV">
    <vt:lpwstr>92F5775E0E104208A839BEC854C664FC</vt:lpwstr>
  </property>
</Properties>
</file>